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562" w:rsidRPr="00245562" w:rsidRDefault="00740E9E" w:rsidP="0024556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6"/>
          <w:szCs w:val="26"/>
        </w:rPr>
      </w:pPr>
      <w:r w:rsidRPr="00245562">
        <w:rPr>
          <w:rFonts w:cstheme="minorHAnsi"/>
          <w:b/>
          <w:bCs/>
          <w:sz w:val="26"/>
          <w:szCs w:val="26"/>
        </w:rPr>
        <w:t>International Day Against Drug Abuse and Illicit Trafficking</w:t>
      </w:r>
    </w:p>
    <w:p w:rsidR="00A0151E" w:rsidRPr="00245562" w:rsidRDefault="0064732F" w:rsidP="0024556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6"/>
          <w:szCs w:val="26"/>
        </w:rPr>
      </w:pPr>
      <w:r w:rsidRPr="00245562">
        <w:rPr>
          <w:rFonts w:cstheme="minorHAnsi"/>
          <w:b/>
          <w:bCs/>
          <w:sz w:val="26"/>
          <w:szCs w:val="26"/>
        </w:rPr>
        <w:t xml:space="preserve">(World Drug Day) </w:t>
      </w:r>
    </w:p>
    <w:p w:rsidR="00740E9E" w:rsidRPr="00245562" w:rsidRDefault="00740E9E" w:rsidP="0024556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6"/>
          <w:szCs w:val="26"/>
        </w:rPr>
      </w:pPr>
      <w:r w:rsidRPr="00245562">
        <w:rPr>
          <w:rFonts w:cstheme="minorHAnsi"/>
          <w:b/>
          <w:bCs/>
          <w:sz w:val="26"/>
          <w:szCs w:val="26"/>
        </w:rPr>
        <w:t xml:space="preserve">26 June 2019 </w:t>
      </w:r>
    </w:p>
    <w:p w:rsidR="00245562" w:rsidRPr="00245562" w:rsidRDefault="00245562" w:rsidP="00245562">
      <w:pPr>
        <w:spacing w:after="0" w:line="240" w:lineRule="auto"/>
        <w:jc w:val="center"/>
        <w:rPr>
          <w:rFonts w:cstheme="minorHAnsi"/>
          <w:b/>
          <w:bCs/>
        </w:rPr>
      </w:pPr>
    </w:p>
    <w:p w:rsidR="00740E9E" w:rsidRPr="00245562" w:rsidRDefault="00740E9E" w:rsidP="0024556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26"/>
          <w:szCs w:val="26"/>
          <w:lang w:eastAsia="en-US"/>
        </w:rPr>
      </w:pPr>
      <w:r w:rsidRPr="00245562">
        <w:rPr>
          <w:rFonts w:eastAsia="Times New Roman" w:cstheme="minorHAnsi"/>
          <w:b/>
          <w:bCs/>
          <w:sz w:val="26"/>
          <w:szCs w:val="26"/>
          <w:lang w:eastAsia="en-US"/>
        </w:rPr>
        <w:t xml:space="preserve">Theme </w:t>
      </w:r>
    </w:p>
    <w:p w:rsidR="00740E9E" w:rsidRPr="00245562" w:rsidRDefault="00740E9E" w:rsidP="00245562">
      <w:pPr>
        <w:spacing w:after="0" w:line="240" w:lineRule="auto"/>
        <w:rPr>
          <w:rFonts w:eastAsia="Times New Roman" w:cstheme="minorHAnsi"/>
          <w:lang w:eastAsia="en-US"/>
        </w:rPr>
      </w:pPr>
    </w:p>
    <w:p w:rsidR="00740E9E" w:rsidRPr="00245562" w:rsidRDefault="00740E9E" w:rsidP="00245562">
      <w:pPr>
        <w:spacing w:after="0" w:line="240" w:lineRule="auto"/>
        <w:rPr>
          <w:rFonts w:eastAsia="Times New Roman" w:cstheme="minorHAnsi"/>
          <w:lang w:eastAsia="en-US"/>
        </w:rPr>
      </w:pPr>
      <w:r w:rsidRPr="00245562">
        <w:rPr>
          <w:rFonts w:eastAsia="Times New Roman" w:cstheme="minorHAnsi"/>
          <w:lang w:eastAsia="en-US"/>
        </w:rPr>
        <w:t xml:space="preserve">The </w:t>
      </w:r>
      <w:r w:rsidR="00245562">
        <w:rPr>
          <w:rFonts w:eastAsia="Times New Roman" w:cstheme="minorHAnsi"/>
          <w:lang w:eastAsia="en-US"/>
        </w:rPr>
        <w:t xml:space="preserve">2019 </w:t>
      </w:r>
      <w:r w:rsidRPr="00245562">
        <w:rPr>
          <w:rFonts w:eastAsia="Times New Roman" w:cstheme="minorHAnsi"/>
          <w:lang w:eastAsia="en-US"/>
        </w:rPr>
        <w:t>World Drug Day</w:t>
      </w:r>
      <w:r w:rsidR="00245562">
        <w:rPr>
          <w:rFonts w:eastAsia="Times New Roman" w:cstheme="minorHAnsi"/>
          <w:lang w:eastAsia="en-US"/>
        </w:rPr>
        <w:t xml:space="preserve"> theme </w:t>
      </w:r>
      <w:r w:rsidRPr="00245562">
        <w:rPr>
          <w:rFonts w:eastAsia="Times New Roman" w:cstheme="minorHAnsi"/>
          <w:lang w:eastAsia="en-US"/>
        </w:rPr>
        <w:t xml:space="preserve">is </w:t>
      </w:r>
      <w:r w:rsidRPr="00245562">
        <w:rPr>
          <w:rFonts w:eastAsia="Times New Roman" w:cstheme="minorHAnsi"/>
          <w:b/>
          <w:bCs/>
          <w:lang w:eastAsia="en-US"/>
        </w:rPr>
        <w:t xml:space="preserve">Health for </w:t>
      </w:r>
      <w:r w:rsidR="00245562">
        <w:rPr>
          <w:rFonts w:eastAsia="Times New Roman" w:cstheme="minorHAnsi"/>
          <w:b/>
          <w:bCs/>
          <w:lang w:eastAsia="en-US"/>
        </w:rPr>
        <w:t>J</w:t>
      </w:r>
      <w:r w:rsidRPr="00245562">
        <w:rPr>
          <w:rFonts w:eastAsia="Times New Roman" w:cstheme="minorHAnsi"/>
          <w:b/>
          <w:bCs/>
          <w:lang w:eastAsia="en-US"/>
        </w:rPr>
        <w:t>ustice</w:t>
      </w:r>
      <w:r w:rsidR="00245562">
        <w:rPr>
          <w:rFonts w:eastAsia="Times New Roman" w:cstheme="minorHAnsi"/>
          <w:b/>
          <w:bCs/>
          <w:lang w:eastAsia="en-US"/>
        </w:rPr>
        <w:t>. J</w:t>
      </w:r>
      <w:r w:rsidRPr="00245562">
        <w:rPr>
          <w:rFonts w:eastAsia="Times New Roman" w:cstheme="minorHAnsi"/>
          <w:b/>
          <w:bCs/>
          <w:lang w:eastAsia="en-US"/>
        </w:rPr>
        <w:t xml:space="preserve">ustice for </w:t>
      </w:r>
      <w:r w:rsidR="00245562">
        <w:rPr>
          <w:rFonts w:eastAsia="Times New Roman" w:cstheme="minorHAnsi"/>
          <w:b/>
          <w:bCs/>
          <w:lang w:eastAsia="en-US"/>
        </w:rPr>
        <w:t>H</w:t>
      </w:r>
      <w:r w:rsidRPr="00245562">
        <w:rPr>
          <w:rFonts w:eastAsia="Times New Roman" w:cstheme="minorHAnsi"/>
          <w:b/>
          <w:bCs/>
          <w:lang w:eastAsia="en-US"/>
        </w:rPr>
        <w:t>ealth</w:t>
      </w:r>
      <w:r w:rsidRPr="00245562">
        <w:rPr>
          <w:rFonts w:eastAsia="Times New Roman" w:cstheme="minorHAnsi"/>
          <w:lang w:eastAsia="en-US"/>
        </w:rPr>
        <w:t xml:space="preserve">. </w:t>
      </w:r>
    </w:p>
    <w:p w:rsidR="00740E9E" w:rsidRDefault="00740E9E" w:rsidP="00245562">
      <w:pPr>
        <w:spacing w:after="0" w:line="240" w:lineRule="auto"/>
        <w:rPr>
          <w:rFonts w:eastAsia="Times New Roman" w:cstheme="minorHAnsi"/>
          <w:lang w:eastAsia="en-US"/>
        </w:rPr>
      </w:pPr>
    </w:p>
    <w:p w:rsidR="00245562" w:rsidRPr="00245562" w:rsidRDefault="00245562" w:rsidP="0024556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26"/>
          <w:szCs w:val="26"/>
          <w:lang w:eastAsia="en-US"/>
        </w:rPr>
      </w:pPr>
      <w:r>
        <w:rPr>
          <w:rFonts w:eastAsia="Times New Roman" w:cstheme="minorHAnsi"/>
          <w:b/>
          <w:bCs/>
          <w:sz w:val="26"/>
          <w:szCs w:val="26"/>
          <w:lang w:eastAsia="en-US"/>
        </w:rPr>
        <w:t>Rationale</w:t>
      </w:r>
    </w:p>
    <w:p w:rsidR="00245562" w:rsidRPr="00245562" w:rsidRDefault="00245562" w:rsidP="00245562">
      <w:pPr>
        <w:spacing w:after="0" w:line="240" w:lineRule="auto"/>
        <w:rPr>
          <w:rFonts w:eastAsia="Times New Roman" w:cstheme="minorHAnsi"/>
          <w:lang w:eastAsia="en-US"/>
        </w:rPr>
      </w:pPr>
    </w:p>
    <w:p w:rsidR="00245562" w:rsidRDefault="00F94F2F" w:rsidP="00245562">
      <w:pPr>
        <w:spacing w:after="0" w:line="240" w:lineRule="auto"/>
        <w:rPr>
          <w:rFonts w:eastAsia="Times New Roman" w:cstheme="minorHAnsi"/>
          <w:lang w:eastAsia="en-US"/>
        </w:rPr>
      </w:pPr>
      <w:r w:rsidRPr="00245562">
        <w:rPr>
          <w:rFonts w:eastAsia="Times New Roman" w:cstheme="minorHAnsi"/>
          <w:lang w:eastAsia="en-US"/>
        </w:rPr>
        <w:t>The theme highlight</w:t>
      </w:r>
      <w:r w:rsidR="00245562">
        <w:rPr>
          <w:rFonts w:eastAsia="Times New Roman" w:cstheme="minorHAnsi"/>
          <w:lang w:eastAsia="en-US"/>
        </w:rPr>
        <w:t>s</w:t>
      </w:r>
      <w:r w:rsidRPr="00245562">
        <w:rPr>
          <w:rFonts w:eastAsia="Times New Roman" w:cstheme="minorHAnsi"/>
          <w:lang w:eastAsia="en-US"/>
        </w:rPr>
        <w:t xml:space="preserve"> that j</w:t>
      </w:r>
      <w:r w:rsidR="00740E9E" w:rsidRPr="00245562">
        <w:rPr>
          <w:rFonts w:eastAsia="Times New Roman" w:cstheme="minorHAnsi"/>
          <w:lang w:eastAsia="en-US"/>
        </w:rPr>
        <w:t xml:space="preserve">ustice and health are two sides of the same coin when it comes to addressing drug problems. </w:t>
      </w:r>
    </w:p>
    <w:p w:rsidR="00245562" w:rsidRDefault="00245562" w:rsidP="00245562">
      <w:pPr>
        <w:spacing w:after="0" w:line="240" w:lineRule="auto"/>
        <w:rPr>
          <w:rFonts w:eastAsia="Times New Roman" w:cstheme="minorHAnsi"/>
          <w:lang w:eastAsia="en-US"/>
        </w:rPr>
      </w:pPr>
    </w:p>
    <w:p w:rsidR="00740E9E" w:rsidRPr="00245562" w:rsidRDefault="00740E9E" w:rsidP="00245562">
      <w:pPr>
        <w:spacing w:after="0" w:line="240" w:lineRule="auto"/>
        <w:rPr>
          <w:rFonts w:eastAsia="Times New Roman" w:cstheme="minorHAnsi"/>
          <w:lang w:eastAsia="en-US"/>
        </w:rPr>
      </w:pPr>
      <w:r w:rsidRPr="00245562">
        <w:rPr>
          <w:rFonts w:eastAsia="Times New Roman" w:cstheme="minorHAnsi"/>
          <w:lang w:eastAsia="en-US"/>
        </w:rPr>
        <w:t xml:space="preserve">Effective responses to the world drug problem require inclusive and accountable institutions of criminal justice, health and social services to work hand in hand to provide integrated solutions, in line with the international drug control conventions, human rights obligations and the Sustainable Development Goals. </w:t>
      </w:r>
    </w:p>
    <w:p w:rsidR="00740E9E" w:rsidRPr="00245562" w:rsidRDefault="00740E9E" w:rsidP="00245562">
      <w:pPr>
        <w:spacing w:after="0" w:line="240" w:lineRule="auto"/>
        <w:rPr>
          <w:rFonts w:eastAsia="Times New Roman" w:cstheme="minorHAnsi"/>
          <w:lang w:eastAsia="en-US"/>
        </w:rPr>
      </w:pPr>
    </w:p>
    <w:p w:rsidR="00740E9E" w:rsidRPr="00245562" w:rsidRDefault="00740E9E" w:rsidP="0024556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26"/>
          <w:szCs w:val="26"/>
          <w:lang w:eastAsia="en-US"/>
        </w:rPr>
      </w:pPr>
      <w:r w:rsidRPr="00245562">
        <w:rPr>
          <w:rFonts w:eastAsia="Times New Roman" w:cstheme="minorHAnsi"/>
          <w:b/>
          <w:bCs/>
          <w:sz w:val="26"/>
          <w:szCs w:val="26"/>
          <w:lang w:eastAsia="en-US"/>
        </w:rPr>
        <w:t>Messaging</w:t>
      </w:r>
    </w:p>
    <w:p w:rsidR="00740E9E" w:rsidRPr="00245562" w:rsidRDefault="00740E9E" w:rsidP="00245562">
      <w:pPr>
        <w:spacing w:after="0" w:line="240" w:lineRule="auto"/>
        <w:rPr>
          <w:rFonts w:eastAsia="Times New Roman" w:cstheme="minorHAnsi"/>
          <w:lang w:eastAsia="en-US"/>
        </w:rPr>
      </w:pPr>
    </w:p>
    <w:p w:rsidR="00245562" w:rsidRDefault="00740E9E" w:rsidP="00245562">
      <w:pPr>
        <w:spacing w:after="0" w:line="240" w:lineRule="auto"/>
        <w:rPr>
          <w:rFonts w:eastAsia="Times New Roman" w:cstheme="minorHAnsi"/>
          <w:lang w:eastAsia="en-US"/>
        </w:rPr>
      </w:pPr>
      <w:r w:rsidRPr="00245562">
        <w:rPr>
          <w:rFonts w:eastAsia="Times New Roman" w:cstheme="minorHAnsi"/>
          <w:lang w:eastAsia="en-US"/>
        </w:rPr>
        <w:t xml:space="preserve">The campaign </w:t>
      </w:r>
      <w:r w:rsidR="00F94F2F" w:rsidRPr="00245562">
        <w:rPr>
          <w:rFonts w:eastAsia="Times New Roman" w:cstheme="minorHAnsi"/>
          <w:lang w:eastAsia="en-US"/>
        </w:rPr>
        <w:t>emphasize</w:t>
      </w:r>
      <w:r w:rsidR="00245562">
        <w:rPr>
          <w:rFonts w:eastAsia="Times New Roman" w:cstheme="minorHAnsi"/>
          <w:lang w:eastAsia="en-US"/>
        </w:rPr>
        <w:t>s</w:t>
      </w:r>
      <w:r w:rsidR="00F94F2F" w:rsidRPr="00245562">
        <w:rPr>
          <w:rFonts w:eastAsia="Times New Roman" w:cstheme="minorHAnsi"/>
          <w:lang w:eastAsia="en-US"/>
        </w:rPr>
        <w:t xml:space="preserve"> </w:t>
      </w:r>
      <w:r w:rsidRPr="00245562">
        <w:rPr>
          <w:rFonts w:eastAsia="Times New Roman" w:cstheme="minorHAnsi"/>
          <w:lang w:eastAsia="en-US"/>
        </w:rPr>
        <w:t xml:space="preserve">that a comprehensive approach to drug prevention and treatment needs to integrate questions of justice and health. </w:t>
      </w:r>
    </w:p>
    <w:p w:rsidR="00245562" w:rsidRDefault="00245562" w:rsidP="00245562">
      <w:pPr>
        <w:spacing w:after="0" w:line="240" w:lineRule="auto"/>
        <w:rPr>
          <w:rFonts w:eastAsia="Times New Roman" w:cstheme="minorHAnsi"/>
          <w:lang w:eastAsia="en-US"/>
        </w:rPr>
      </w:pPr>
    </w:p>
    <w:p w:rsidR="00740E9E" w:rsidRPr="00245562" w:rsidRDefault="00740E9E" w:rsidP="00245562">
      <w:pPr>
        <w:spacing w:after="0" w:line="240" w:lineRule="auto"/>
        <w:rPr>
          <w:rFonts w:eastAsia="Times New Roman" w:cstheme="minorHAnsi"/>
          <w:lang w:eastAsia="en-US"/>
        </w:rPr>
      </w:pPr>
      <w:r w:rsidRPr="00245562">
        <w:rPr>
          <w:rFonts w:eastAsia="Times New Roman" w:cstheme="minorHAnsi"/>
          <w:lang w:eastAsia="en-US"/>
        </w:rPr>
        <w:t>To make this idea more accessible, the campaign includes the following th</w:t>
      </w:r>
      <w:r w:rsidR="00F94F2F" w:rsidRPr="00245562">
        <w:rPr>
          <w:rFonts w:eastAsia="Times New Roman" w:cstheme="minorHAnsi"/>
          <w:lang w:eastAsia="en-US"/>
        </w:rPr>
        <w:t>r</w:t>
      </w:r>
      <w:r w:rsidRPr="00245562">
        <w:rPr>
          <w:rFonts w:eastAsia="Times New Roman" w:cstheme="minorHAnsi"/>
          <w:lang w:eastAsia="en-US"/>
        </w:rPr>
        <w:t xml:space="preserve">ee sub-themes: </w:t>
      </w:r>
    </w:p>
    <w:p w:rsidR="00B75671" w:rsidRPr="00245562" w:rsidRDefault="00B75671" w:rsidP="00245562">
      <w:pPr>
        <w:spacing w:after="0" w:line="240" w:lineRule="auto"/>
        <w:contextualSpacing/>
        <w:rPr>
          <w:rFonts w:eastAsia="DengXian" w:cstheme="minorHAnsi"/>
          <w:b/>
        </w:rPr>
      </w:pPr>
    </w:p>
    <w:p w:rsidR="00740E9E" w:rsidRPr="00245562" w:rsidRDefault="00245562" w:rsidP="00245562">
      <w:pPr>
        <w:spacing w:after="0" w:line="240" w:lineRule="auto"/>
        <w:rPr>
          <w:rFonts w:eastAsia="DengXian" w:cstheme="minorHAnsi"/>
          <w:b/>
        </w:rPr>
      </w:pPr>
      <w:r>
        <w:rPr>
          <w:rFonts w:eastAsia="DengXian" w:cstheme="minorHAnsi"/>
          <w:b/>
        </w:rPr>
        <w:t xml:space="preserve">1. </w:t>
      </w:r>
      <w:r w:rsidR="00740E9E" w:rsidRPr="00245562">
        <w:rPr>
          <w:rFonts w:eastAsia="DengXian" w:cstheme="minorHAnsi"/>
          <w:b/>
        </w:rPr>
        <w:t>People get</w:t>
      </w:r>
      <w:bookmarkStart w:id="0" w:name="_GoBack"/>
      <w:bookmarkEnd w:id="0"/>
      <w:r w:rsidR="00740E9E" w:rsidRPr="00245562">
        <w:rPr>
          <w:rFonts w:eastAsia="DengXian" w:cstheme="minorHAnsi"/>
          <w:b/>
        </w:rPr>
        <w:t>ting the treatment they need</w:t>
      </w:r>
    </w:p>
    <w:p w:rsidR="00245562" w:rsidRDefault="00245562" w:rsidP="00245562">
      <w:pPr>
        <w:spacing w:after="0" w:line="240" w:lineRule="auto"/>
        <w:contextualSpacing/>
        <w:rPr>
          <w:rFonts w:eastAsia="DengXian" w:cstheme="minorHAnsi"/>
        </w:rPr>
      </w:pPr>
    </w:p>
    <w:p w:rsidR="00B75671" w:rsidRPr="00245562" w:rsidRDefault="00740E9E" w:rsidP="00245562">
      <w:pPr>
        <w:spacing w:after="0" w:line="240" w:lineRule="auto"/>
        <w:contextualSpacing/>
        <w:rPr>
          <w:rFonts w:eastAsia="DengXian" w:cstheme="minorHAnsi"/>
          <w:b/>
        </w:rPr>
      </w:pPr>
      <w:r w:rsidRPr="00245562">
        <w:rPr>
          <w:rFonts w:eastAsia="DengXian" w:cstheme="minorHAnsi"/>
        </w:rPr>
        <w:t xml:space="preserve">To give those who need treatment access to it, institutions of justice and health need to work closely together. This applies to supporting prevention and treatment services regarding drug use and HIV in communities and in prisons; to providing gender- and age-sensitive responses without stigma or discrimination; and to public health responses to drug use that enable effective alternatives to punishment and imprisonment in line with the international drug control conventions. </w:t>
      </w:r>
    </w:p>
    <w:p w:rsidR="00B75671" w:rsidRPr="00245562" w:rsidRDefault="00B75671" w:rsidP="00245562">
      <w:pPr>
        <w:spacing w:after="0" w:line="240" w:lineRule="auto"/>
        <w:ind w:left="1080"/>
        <w:contextualSpacing/>
        <w:rPr>
          <w:rFonts w:eastAsia="DengXian" w:cstheme="minorHAnsi"/>
          <w:b/>
        </w:rPr>
      </w:pPr>
    </w:p>
    <w:p w:rsidR="00740E9E" w:rsidRDefault="00245562" w:rsidP="00245562">
      <w:pPr>
        <w:spacing w:after="0" w:line="240" w:lineRule="auto"/>
        <w:rPr>
          <w:rFonts w:eastAsia="DengXian" w:cstheme="minorHAnsi"/>
          <w:b/>
        </w:rPr>
      </w:pPr>
      <w:r>
        <w:rPr>
          <w:rFonts w:eastAsia="DengXian" w:cstheme="minorHAnsi"/>
          <w:b/>
        </w:rPr>
        <w:t xml:space="preserve">2. </w:t>
      </w:r>
      <w:r w:rsidR="00740E9E" w:rsidRPr="00245562">
        <w:rPr>
          <w:rFonts w:eastAsia="DengXian" w:cstheme="minorHAnsi"/>
          <w:b/>
        </w:rPr>
        <w:t>Connecting drug prevention, social inclusion and protection</w:t>
      </w:r>
    </w:p>
    <w:p w:rsidR="00245562" w:rsidRPr="00245562" w:rsidRDefault="00245562" w:rsidP="00245562">
      <w:pPr>
        <w:spacing w:after="0" w:line="240" w:lineRule="auto"/>
        <w:rPr>
          <w:rFonts w:eastAsia="DengXian" w:cstheme="minorHAnsi"/>
          <w:b/>
        </w:rPr>
      </w:pPr>
    </w:p>
    <w:p w:rsidR="00B75671" w:rsidRPr="00245562" w:rsidRDefault="00740E9E" w:rsidP="00245562">
      <w:pPr>
        <w:spacing w:after="0" w:line="240" w:lineRule="auto"/>
        <w:rPr>
          <w:rFonts w:eastAsia="DengXian" w:cstheme="minorHAnsi"/>
          <w:b/>
        </w:rPr>
      </w:pPr>
      <w:r w:rsidRPr="00245562">
        <w:rPr>
          <w:rFonts w:eastAsia="DengXian" w:cstheme="minorHAnsi"/>
          <w:bCs/>
        </w:rPr>
        <w:t>Strengthening connectedness and communication in families, schools and communities can increase youth resilience and support rehabilitation and reintegration, thereby also helping to prevent crime and violence.</w:t>
      </w:r>
      <w:r w:rsidRPr="00245562">
        <w:rPr>
          <w:rFonts w:eastAsia="DengXian" w:cstheme="minorHAnsi"/>
          <w:b/>
        </w:rPr>
        <w:t xml:space="preserve"> </w:t>
      </w:r>
    </w:p>
    <w:p w:rsidR="00B75671" w:rsidRPr="00245562" w:rsidRDefault="00B75671" w:rsidP="00245562">
      <w:pPr>
        <w:spacing w:after="0" w:line="240" w:lineRule="auto"/>
        <w:contextualSpacing/>
        <w:rPr>
          <w:rFonts w:eastAsia="DengXian" w:cstheme="minorHAnsi"/>
          <w:b/>
        </w:rPr>
      </w:pPr>
    </w:p>
    <w:p w:rsidR="00740E9E" w:rsidRPr="00245562" w:rsidRDefault="00245562" w:rsidP="00245562">
      <w:pPr>
        <w:spacing w:after="0" w:line="240" w:lineRule="auto"/>
        <w:rPr>
          <w:rFonts w:eastAsia="DengXian" w:cstheme="minorHAnsi"/>
          <w:b/>
        </w:rPr>
      </w:pPr>
      <w:r>
        <w:rPr>
          <w:rFonts w:eastAsia="DengXian" w:cstheme="minorHAnsi"/>
          <w:b/>
        </w:rPr>
        <w:t xml:space="preserve">3. </w:t>
      </w:r>
      <w:r w:rsidR="00740E9E" w:rsidRPr="00245562">
        <w:rPr>
          <w:rFonts w:eastAsia="DengXian" w:cstheme="minorHAnsi"/>
          <w:b/>
        </w:rPr>
        <w:t xml:space="preserve">Building knowledge for justice and health </w:t>
      </w:r>
    </w:p>
    <w:p w:rsidR="00245562" w:rsidRDefault="00245562" w:rsidP="00245562">
      <w:pPr>
        <w:spacing w:after="0" w:line="240" w:lineRule="auto"/>
        <w:contextualSpacing/>
        <w:rPr>
          <w:rFonts w:eastAsia="DengXian" w:cstheme="minorHAnsi"/>
          <w:bCs/>
        </w:rPr>
      </w:pPr>
    </w:p>
    <w:p w:rsidR="00740E9E" w:rsidRDefault="00740E9E" w:rsidP="00245562">
      <w:pPr>
        <w:spacing w:after="0" w:line="240" w:lineRule="auto"/>
        <w:contextualSpacing/>
        <w:rPr>
          <w:rFonts w:cstheme="minorHAnsi"/>
        </w:rPr>
      </w:pPr>
      <w:r w:rsidRPr="00245562">
        <w:rPr>
          <w:rFonts w:eastAsia="DengXian" w:cstheme="minorHAnsi"/>
          <w:bCs/>
        </w:rPr>
        <w:t>Evidence-based solutions and research and analysis</w:t>
      </w:r>
      <w:r w:rsidR="0009477B" w:rsidRPr="00245562">
        <w:rPr>
          <w:rFonts w:eastAsia="DengXian" w:cstheme="minorHAnsi"/>
          <w:bCs/>
        </w:rPr>
        <w:t xml:space="preserve"> </w:t>
      </w:r>
      <w:r w:rsidRPr="00245562">
        <w:rPr>
          <w:rFonts w:eastAsia="DengXian" w:cstheme="minorHAnsi"/>
          <w:bCs/>
        </w:rPr>
        <w:t>are needed to understand</w:t>
      </w:r>
      <w:r w:rsidRPr="00245562">
        <w:rPr>
          <w:rFonts w:eastAsia="DengXian" w:cstheme="minorHAnsi"/>
        </w:rPr>
        <w:t xml:space="preserve"> the problem, inform decision makers, enable international cooperation and agree on solutions</w:t>
      </w:r>
      <w:r w:rsidR="00924CBD" w:rsidRPr="00245562">
        <w:rPr>
          <w:rFonts w:eastAsia="DengXian" w:cstheme="minorHAnsi"/>
        </w:rPr>
        <w:t>.</w:t>
      </w:r>
      <w:r w:rsidR="00924CBD" w:rsidRPr="00245562">
        <w:rPr>
          <w:rFonts w:cstheme="minorHAnsi"/>
        </w:rPr>
        <w:t xml:space="preserve"> </w:t>
      </w:r>
      <w:r w:rsidR="00924CBD" w:rsidRPr="00245562">
        <w:rPr>
          <w:rFonts w:eastAsia="DengXian" w:cstheme="minorHAnsi"/>
        </w:rPr>
        <w:t>The World Drug Report is a global resource that provides this kind of information for health and criminal justice responses to drugs</w:t>
      </w:r>
      <w:r w:rsidRPr="00245562">
        <w:rPr>
          <w:rFonts w:eastAsia="DengXian" w:cstheme="minorHAnsi"/>
        </w:rPr>
        <w:t>.</w:t>
      </w:r>
      <w:r w:rsidR="00F94F2F" w:rsidRPr="00245562">
        <w:rPr>
          <w:rFonts w:cstheme="minorHAnsi"/>
        </w:rPr>
        <w:t xml:space="preserve"> </w:t>
      </w:r>
    </w:p>
    <w:p w:rsidR="00245562" w:rsidRDefault="00245562" w:rsidP="00245562">
      <w:pPr>
        <w:spacing w:after="0" w:line="240" w:lineRule="auto"/>
        <w:contextualSpacing/>
        <w:rPr>
          <w:rFonts w:eastAsia="Times New Roman" w:cstheme="minorHAnsi"/>
          <w:lang w:eastAsia="en-US"/>
        </w:rPr>
      </w:pPr>
    </w:p>
    <w:p w:rsidR="00245562" w:rsidRPr="00245562" w:rsidRDefault="00245562" w:rsidP="00245562">
      <w:pPr>
        <w:spacing w:after="0" w:line="240" w:lineRule="auto"/>
        <w:contextualSpacing/>
        <w:rPr>
          <w:rFonts w:eastAsia="Times New Roman" w:cstheme="minorHAnsi"/>
          <w:lang w:eastAsia="en-US"/>
        </w:rPr>
      </w:pPr>
    </w:p>
    <w:sectPr w:rsidR="00245562" w:rsidRPr="00245562">
      <w:headerReference w:type="default"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459" w:rsidRDefault="00560459" w:rsidP="00740E9E">
      <w:pPr>
        <w:spacing w:after="0" w:line="240" w:lineRule="auto"/>
      </w:pPr>
      <w:r>
        <w:separator/>
      </w:r>
    </w:p>
  </w:endnote>
  <w:endnote w:type="continuationSeparator" w:id="0">
    <w:p w:rsidR="00560459" w:rsidRDefault="00560459" w:rsidP="0074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1E0" w:firstRow="1" w:lastRow="1" w:firstColumn="1" w:lastColumn="1" w:noHBand="0" w:noVBand="0"/>
    </w:tblPr>
    <w:tblGrid>
      <w:gridCol w:w="4224"/>
      <w:gridCol w:w="1123"/>
      <w:gridCol w:w="4224"/>
    </w:tblGrid>
    <w:tr w:rsidR="007E180A" w:rsidTr="00D101DC">
      <w:tc>
        <w:tcPr>
          <w:tcW w:w="4224" w:type="dxa"/>
          <w:shd w:val="clear" w:color="auto" w:fill="auto"/>
        </w:tcPr>
        <w:p w:rsidR="007E180A" w:rsidRDefault="00446243" w:rsidP="00D101DC">
          <w:pPr>
            <w:pStyle w:val="Header"/>
            <w:tabs>
              <w:tab w:val="clear" w:pos="4320"/>
              <w:tab w:val="clear" w:pos="8640"/>
            </w:tabs>
            <w:spacing w:before="60"/>
          </w:pPr>
          <w:r w:rsidRPr="00D101DC">
            <w:rPr>
              <w:sz w:val="18"/>
              <w:szCs w:val="18"/>
            </w:rPr>
            <w:t>Title of the Document</w:t>
          </w:r>
        </w:p>
      </w:tc>
      <w:tc>
        <w:tcPr>
          <w:tcW w:w="1123" w:type="dxa"/>
          <w:shd w:val="clear" w:color="auto" w:fill="auto"/>
        </w:tcPr>
        <w:p w:rsidR="007E180A" w:rsidRDefault="00446243" w:rsidP="00D101DC">
          <w:pPr>
            <w:pStyle w:val="Header"/>
            <w:tabs>
              <w:tab w:val="clear" w:pos="4320"/>
              <w:tab w:val="clear" w:pos="8640"/>
            </w:tabs>
            <w:spacing w:before="60"/>
          </w:pPr>
          <w:r w:rsidRPr="00D101DC">
            <w:rPr>
              <w:sz w:val="18"/>
              <w:szCs w:val="18"/>
            </w:rPr>
            <w:t xml:space="preserve">Page </w:t>
          </w:r>
          <w:r w:rsidRPr="00D101DC">
            <w:rPr>
              <w:sz w:val="18"/>
              <w:szCs w:val="18"/>
            </w:rPr>
            <w:fldChar w:fldCharType="begin"/>
          </w:r>
          <w:r w:rsidRPr="00D101DC">
            <w:rPr>
              <w:sz w:val="18"/>
              <w:szCs w:val="18"/>
            </w:rPr>
            <w:instrText xml:space="preserve"> PAGE </w:instrText>
          </w:r>
          <w:r w:rsidRPr="00D101DC">
            <w:rPr>
              <w:sz w:val="18"/>
              <w:szCs w:val="18"/>
            </w:rPr>
            <w:fldChar w:fldCharType="separate"/>
          </w:r>
          <w:r w:rsidRPr="00D101DC">
            <w:rPr>
              <w:noProof/>
              <w:sz w:val="18"/>
              <w:szCs w:val="18"/>
            </w:rPr>
            <w:t>1</w:t>
          </w:r>
          <w:r w:rsidRPr="00D101DC">
            <w:rPr>
              <w:sz w:val="18"/>
              <w:szCs w:val="18"/>
            </w:rPr>
            <w:fldChar w:fldCharType="end"/>
          </w:r>
          <w:r w:rsidRPr="00D101DC">
            <w:rPr>
              <w:sz w:val="18"/>
              <w:szCs w:val="18"/>
            </w:rPr>
            <w:t xml:space="preserve"> of </w:t>
          </w:r>
          <w:r w:rsidRPr="00D101DC">
            <w:rPr>
              <w:sz w:val="18"/>
              <w:szCs w:val="18"/>
            </w:rPr>
            <w:fldChar w:fldCharType="begin"/>
          </w:r>
          <w:r w:rsidRPr="00D101DC">
            <w:rPr>
              <w:sz w:val="18"/>
              <w:szCs w:val="18"/>
            </w:rPr>
            <w:instrText xml:space="preserve"> NUMPAGES </w:instrText>
          </w:r>
          <w:r w:rsidRPr="00D101DC">
            <w:rPr>
              <w:sz w:val="18"/>
              <w:szCs w:val="18"/>
            </w:rPr>
            <w:fldChar w:fldCharType="separate"/>
          </w:r>
          <w:r>
            <w:rPr>
              <w:noProof/>
              <w:sz w:val="18"/>
              <w:szCs w:val="18"/>
            </w:rPr>
            <w:t>2</w:t>
          </w:r>
          <w:r w:rsidRPr="00D101DC">
            <w:rPr>
              <w:sz w:val="18"/>
              <w:szCs w:val="18"/>
            </w:rPr>
            <w:fldChar w:fldCharType="end"/>
          </w:r>
        </w:p>
      </w:tc>
      <w:tc>
        <w:tcPr>
          <w:tcW w:w="4224" w:type="dxa"/>
          <w:shd w:val="clear" w:color="auto" w:fill="auto"/>
        </w:tcPr>
        <w:p w:rsidR="007E180A" w:rsidRPr="00D101DC" w:rsidRDefault="00446243" w:rsidP="00D101DC">
          <w:pPr>
            <w:autoSpaceDE w:val="0"/>
            <w:autoSpaceDN w:val="0"/>
            <w:adjustRightInd w:val="0"/>
            <w:spacing w:before="60" w:line="240" w:lineRule="atLeast"/>
            <w:jc w:val="right"/>
            <w:rPr>
              <w:sz w:val="18"/>
              <w:szCs w:val="18"/>
            </w:rPr>
          </w:pPr>
          <w:r w:rsidRPr="00D101DC">
            <w:rPr>
              <w:sz w:val="18"/>
              <w:szCs w:val="18"/>
            </w:rPr>
            <w:t>Author(s) initial or full name</w:t>
          </w:r>
        </w:p>
        <w:p w:rsidR="007E180A" w:rsidRDefault="00446243" w:rsidP="00D101DC">
          <w:pPr>
            <w:pStyle w:val="Header"/>
            <w:tabs>
              <w:tab w:val="clear" w:pos="4320"/>
              <w:tab w:val="clear" w:pos="8640"/>
            </w:tabs>
            <w:jc w:val="right"/>
          </w:pPr>
          <w:r w:rsidRPr="00D101DC">
            <w:rPr>
              <w:sz w:val="18"/>
              <w:szCs w:val="18"/>
            </w:rPr>
            <w:t>Date of preparation (e.g., 7 January 2009)</w:t>
          </w:r>
        </w:p>
      </w:tc>
    </w:tr>
  </w:tbl>
  <w:p w:rsidR="007E180A" w:rsidRDefault="006A42D9">
    <w:pPr>
      <w:pStyle w:val="Footer"/>
      <w:tabs>
        <w:tab w:val="clear" w:pos="4320"/>
        <w:tab w:val="clear" w:pos="864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459" w:rsidRDefault="00560459" w:rsidP="00740E9E">
      <w:pPr>
        <w:spacing w:after="0" w:line="240" w:lineRule="auto"/>
      </w:pPr>
      <w:r>
        <w:separator/>
      </w:r>
    </w:p>
  </w:footnote>
  <w:footnote w:type="continuationSeparator" w:id="0">
    <w:p w:rsidR="00560459" w:rsidRDefault="00560459" w:rsidP="00740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0A" w:rsidRPr="004A28AB" w:rsidRDefault="006A42D9">
    <w:pPr>
      <w:pStyle w:val="Header"/>
      <w:tabs>
        <w:tab w:val="clear" w:pos="4320"/>
        <w:tab w:val="clear" w:pos="8640"/>
      </w:tabs>
      <w:rPr>
        <w:sz w:val="24"/>
        <w:szCs w:val="24"/>
      </w:rPr>
    </w:pPr>
  </w:p>
  <w:p w:rsidR="007E180A" w:rsidRPr="004A28AB" w:rsidRDefault="006A42D9">
    <w:pPr>
      <w:pStyle w:val="Header"/>
      <w:tabs>
        <w:tab w:val="clear" w:pos="4320"/>
        <w:tab w:val="clear" w:pos="8640"/>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80A" w:rsidRDefault="006A42D9">
    <w:pPr>
      <w:pStyle w:val="Header"/>
      <w:tabs>
        <w:tab w:val="clear" w:pos="4320"/>
        <w:tab w:val="clear" w:pos="8640"/>
      </w:tabs>
    </w:pPr>
  </w:p>
  <w:p w:rsidR="007E180A" w:rsidRDefault="006A42D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67C12"/>
    <w:multiLevelType w:val="hybridMultilevel"/>
    <w:tmpl w:val="3D66E702"/>
    <w:lvl w:ilvl="0" w:tplc="A65C9CFE">
      <w:start w:val="3"/>
      <w:numFmt w:val="bullet"/>
      <w:lvlText w:val="-"/>
      <w:lvlJc w:val="left"/>
      <w:pPr>
        <w:ind w:left="1080" w:hanging="360"/>
      </w:pPr>
      <w:rPr>
        <w:rFonts w:ascii="Calibri" w:eastAsia="DengXi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D791216"/>
    <w:multiLevelType w:val="hybridMultilevel"/>
    <w:tmpl w:val="85A21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F62D7"/>
    <w:multiLevelType w:val="hybridMultilevel"/>
    <w:tmpl w:val="C682ED52"/>
    <w:lvl w:ilvl="0" w:tplc="A65C9CFE">
      <w:start w:val="3"/>
      <w:numFmt w:val="bullet"/>
      <w:lvlText w:val="-"/>
      <w:lvlJc w:val="left"/>
      <w:pPr>
        <w:ind w:left="1080" w:hanging="360"/>
      </w:pPr>
      <w:rPr>
        <w:rFonts w:ascii="Calibri" w:eastAsia="DengXi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5A0C6F"/>
    <w:multiLevelType w:val="hybridMultilevel"/>
    <w:tmpl w:val="35BE1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9E"/>
    <w:rsid w:val="00040976"/>
    <w:rsid w:val="0009477B"/>
    <w:rsid w:val="0022070E"/>
    <w:rsid w:val="00245562"/>
    <w:rsid w:val="002D1341"/>
    <w:rsid w:val="00381C70"/>
    <w:rsid w:val="00441884"/>
    <w:rsid w:val="00446243"/>
    <w:rsid w:val="004B5040"/>
    <w:rsid w:val="00541F8C"/>
    <w:rsid w:val="00560459"/>
    <w:rsid w:val="0064732F"/>
    <w:rsid w:val="006A42D9"/>
    <w:rsid w:val="00701019"/>
    <w:rsid w:val="00740E9E"/>
    <w:rsid w:val="00924CBD"/>
    <w:rsid w:val="009D64C2"/>
    <w:rsid w:val="00A0151E"/>
    <w:rsid w:val="00B75671"/>
    <w:rsid w:val="00CB7B37"/>
    <w:rsid w:val="00F94F2F"/>
    <w:rsid w:val="00FA56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1F6E6AB-B3FE-4597-A0C2-127065D6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0E9E"/>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740E9E"/>
    <w:rPr>
      <w:rFonts w:ascii="Times New Roman" w:eastAsia="Times New Roman" w:hAnsi="Times New Roman" w:cs="Times New Roman"/>
      <w:sz w:val="20"/>
      <w:szCs w:val="20"/>
      <w:lang w:eastAsia="en-US"/>
    </w:rPr>
  </w:style>
  <w:style w:type="paragraph" w:styleId="Footer">
    <w:name w:val="footer"/>
    <w:basedOn w:val="Normal"/>
    <w:link w:val="FooterChar"/>
    <w:rsid w:val="00740E9E"/>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740E9E"/>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B75671"/>
    <w:pPr>
      <w:ind w:left="720"/>
      <w:contextualSpacing/>
    </w:pPr>
  </w:style>
  <w:style w:type="paragraph" w:styleId="Date">
    <w:name w:val="Date"/>
    <w:basedOn w:val="Normal"/>
    <w:next w:val="Normal"/>
    <w:link w:val="DateChar"/>
    <w:uiPriority w:val="99"/>
    <w:semiHidden/>
    <w:unhideWhenUsed/>
    <w:rsid w:val="00245562"/>
  </w:style>
  <w:style w:type="character" w:customStyle="1" w:styleId="DateChar">
    <w:name w:val="Date Char"/>
    <w:basedOn w:val="DefaultParagraphFont"/>
    <w:link w:val="Date"/>
    <w:uiPriority w:val="99"/>
    <w:semiHidden/>
    <w:rsid w:val="0024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Klettermayer</dc:creator>
  <cp:keywords/>
  <dc:description/>
  <cp:lastModifiedBy>Kamran Niaz</cp:lastModifiedBy>
  <cp:revision>2</cp:revision>
  <dcterms:created xsi:type="dcterms:W3CDTF">2019-06-04T15:43:00Z</dcterms:created>
  <dcterms:modified xsi:type="dcterms:W3CDTF">2019-06-04T15:43:00Z</dcterms:modified>
</cp:coreProperties>
</file>